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F44EC" w14:textId="77777777" w:rsidR="00330C02" w:rsidRPr="00330C02" w:rsidRDefault="00330C02" w:rsidP="00330C02">
      <w:pPr>
        <w:spacing w:line="240" w:lineRule="auto"/>
        <w:jc w:val="center"/>
        <w:rPr>
          <w:rFonts w:ascii="Cambria" w:eastAsia="Times New Roman" w:hAnsi="Cambria" w:cs="Times New Roman"/>
        </w:rPr>
      </w:pPr>
      <w:r w:rsidRPr="00330C02">
        <w:rPr>
          <w:rFonts w:ascii="Cambria" w:eastAsia="Times New Roman" w:hAnsi="Cambria"/>
          <w:i/>
          <w:iCs/>
          <w:color w:val="000000"/>
        </w:rPr>
        <w:t>[</w:t>
      </w:r>
      <w:proofErr w:type="gramStart"/>
      <w:r w:rsidRPr="00330C02">
        <w:rPr>
          <w:rFonts w:ascii="Cambria" w:eastAsia="Times New Roman" w:hAnsi="Cambria"/>
          <w:i/>
          <w:iCs/>
          <w:color w:val="000000"/>
        </w:rPr>
        <w:t>Your</w:t>
      </w:r>
      <w:proofErr w:type="gramEnd"/>
      <w:r w:rsidRPr="00330C02">
        <w:rPr>
          <w:rFonts w:ascii="Cambria" w:eastAsia="Times New Roman" w:hAnsi="Cambria"/>
          <w:i/>
          <w:iCs/>
          <w:color w:val="000000"/>
        </w:rPr>
        <w:t xml:space="preserve"> Name]</w:t>
      </w:r>
    </w:p>
    <w:p w14:paraId="67E3F071" w14:textId="77777777" w:rsidR="00330C02" w:rsidRPr="00330C02" w:rsidRDefault="00330C02" w:rsidP="00330C02">
      <w:pPr>
        <w:spacing w:line="240" w:lineRule="auto"/>
        <w:jc w:val="center"/>
        <w:rPr>
          <w:rFonts w:ascii="Cambria" w:eastAsia="Times New Roman" w:hAnsi="Cambria" w:cs="Times New Roman"/>
        </w:rPr>
      </w:pPr>
      <w:r w:rsidRPr="00330C02">
        <w:rPr>
          <w:rFonts w:ascii="Cambria" w:eastAsia="Times New Roman" w:hAnsi="Cambria"/>
          <w:i/>
          <w:iCs/>
          <w:color w:val="000000"/>
        </w:rPr>
        <w:t>[</w:t>
      </w:r>
      <w:proofErr w:type="gramStart"/>
      <w:r w:rsidRPr="00330C02">
        <w:rPr>
          <w:rFonts w:ascii="Cambria" w:eastAsia="Times New Roman" w:hAnsi="Cambria"/>
          <w:i/>
          <w:iCs/>
          <w:color w:val="000000"/>
        </w:rPr>
        <w:t>Your</w:t>
      </w:r>
      <w:proofErr w:type="gramEnd"/>
      <w:r w:rsidRPr="00330C02">
        <w:rPr>
          <w:rFonts w:ascii="Cambria" w:eastAsia="Times New Roman" w:hAnsi="Cambria"/>
          <w:i/>
          <w:iCs/>
          <w:color w:val="000000"/>
        </w:rPr>
        <w:t xml:space="preserve"> Address] </w:t>
      </w:r>
    </w:p>
    <w:p w14:paraId="2E8C0FAB" w14:textId="77777777" w:rsidR="00330C02" w:rsidRPr="00330C02" w:rsidRDefault="00330C02" w:rsidP="00330C02">
      <w:pPr>
        <w:spacing w:line="240" w:lineRule="auto"/>
        <w:rPr>
          <w:rFonts w:ascii="Cambria" w:eastAsia="Times New Roman" w:hAnsi="Cambria" w:cs="Times New Roman"/>
        </w:rPr>
      </w:pPr>
    </w:p>
    <w:p w14:paraId="4E41ED2F" w14:textId="77777777" w:rsidR="00330C02" w:rsidRPr="00330C02" w:rsidRDefault="00330C02" w:rsidP="00330C02">
      <w:pPr>
        <w:spacing w:line="240" w:lineRule="auto"/>
        <w:rPr>
          <w:rFonts w:ascii="Cambria" w:eastAsia="Times New Roman" w:hAnsi="Cambria" w:cs="Times New Roman"/>
        </w:rPr>
      </w:pPr>
      <w:r w:rsidRPr="00330C02">
        <w:rPr>
          <w:rFonts w:ascii="Cambria" w:eastAsia="Times New Roman" w:hAnsi="Cambria"/>
          <w:i/>
          <w:iCs/>
          <w:color w:val="000000"/>
        </w:rPr>
        <w:t>[Date]</w:t>
      </w:r>
    </w:p>
    <w:p w14:paraId="52350AA6" w14:textId="77777777" w:rsidR="00330C02" w:rsidRPr="00330C02" w:rsidRDefault="00330C02" w:rsidP="00330C02">
      <w:pPr>
        <w:spacing w:line="240" w:lineRule="auto"/>
        <w:rPr>
          <w:rFonts w:ascii="Cambria" w:eastAsia="Times New Roman" w:hAnsi="Cambria" w:cs="Times New Roman"/>
        </w:rPr>
      </w:pPr>
    </w:p>
    <w:p w14:paraId="57E675B1" w14:textId="77777777" w:rsidR="00330C02" w:rsidRPr="00330C02" w:rsidRDefault="00330C02" w:rsidP="00330C02">
      <w:pPr>
        <w:spacing w:line="240" w:lineRule="auto"/>
        <w:rPr>
          <w:rFonts w:ascii="Cambria" w:eastAsia="Times New Roman" w:hAnsi="Cambria" w:cs="Times New Roman"/>
        </w:rPr>
      </w:pPr>
      <w:r w:rsidRPr="00330C02">
        <w:rPr>
          <w:rFonts w:ascii="Cambria" w:eastAsia="Times New Roman" w:hAnsi="Cambria"/>
          <w:color w:val="000000"/>
        </w:rPr>
        <w:t xml:space="preserve">Senator James B. Eldridge </w:t>
      </w:r>
      <w:r w:rsidRPr="00330C02">
        <w:rPr>
          <w:rFonts w:ascii="Cambria" w:eastAsia="Times New Roman" w:hAnsi="Cambria"/>
          <w:color w:val="000000"/>
        </w:rPr>
        <w:tab/>
      </w:r>
      <w:r w:rsidRPr="00330C02">
        <w:rPr>
          <w:rFonts w:ascii="Cambria" w:eastAsia="Times New Roman" w:hAnsi="Cambria"/>
          <w:color w:val="000000"/>
        </w:rPr>
        <w:tab/>
      </w:r>
      <w:r w:rsidRPr="00330C02">
        <w:rPr>
          <w:rFonts w:ascii="Cambria" w:eastAsia="Times New Roman" w:hAnsi="Cambria"/>
          <w:color w:val="000000"/>
        </w:rPr>
        <w:tab/>
      </w:r>
      <w:r w:rsidRPr="00330C02">
        <w:rPr>
          <w:rFonts w:ascii="Cambria" w:eastAsia="Times New Roman" w:hAnsi="Cambria"/>
          <w:color w:val="000000"/>
        </w:rPr>
        <w:tab/>
        <w:t>Representative Claire D. Cronin </w:t>
      </w:r>
      <w:r w:rsidRPr="00330C02">
        <w:rPr>
          <w:rFonts w:ascii="Cambria" w:eastAsia="Times New Roman" w:hAnsi="Cambria" w:cs="Times New Roman"/>
        </w:rPr>
        <w:tab/>
      </w:r>
    </w:p>
    <w:p w14:paraId="3F3DFD03" w14:textId="77777777" w:rsidR="00330C02" w:rsidRPr="00330C02" w:rsidRDefault="00330C02" w:rsidP="00330C02">
      <w:pPr>
        <w:spacing w:line="240" w:lineRule="auto"/>
        <w:rPr>
          <w:rFonts w:ascii="Cambria" w:eastAsia="Times New Roman" w:hAnsi="Cambria" w:cs="Times New Roman"/>
        </w:rPr>
      </w:pPr>
      <w:r w:rsidRPr="00330C02">
        <w:rPr>
          <w:rFonts w:ascii="Cambria" w:eastAsia="Times New Roman" w:hAnsi="Cambria"/>
          <w:color w:val="000000"/>
          <w:shd w:val="clear" w:color="auto" w:fill="FFFFFF"/>
        </w:rPr>
        <w:t>Senate Chair</w:t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  <w:t>House Chair</w:t>
      </w:r>
      <w:r w:rsidRPr="00330C02">
        <w:rPr>
          <w:rFonts w:ascii="Cambria" w:eastAsia="Times New Roman" w:hAnsi="Cambria"/>
          <w:color w:val="000000"/>
          <w:shd w:val="clear" w:color="auto" w:fill="FFFFFF"/>
        </w:rPr>
        <w:br/>
        <w:t xml:space="preserve">Joint Committee on the Judiciary </w:t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  <w:t>Joint Committee on the Judiciary</w:t>
      </w:r>
    </w:p>
    <w:p w14:paraId="482043A4" w14:textId="77777777" w:rsidR="00330C02" w:rsidRPr="00330C02" w:rsidRDefault="00330C02" w:rsidP="00330C02">
      <w:pPr>
        <w:spacing w:line="240" w:lineRule="auto"/>
        <w:rPr>
          <w:rFonts w:ascii="Cambria" w:eastAsia="Times New Roman" w:hAnsi="Cambria" w:cs="Times New Roman"/>
        </w:rPr>
      </w:pPr>
      <w:r w:rsidRPr="00330C02">
        <w:rPr>
          <w:rFonts w:ascii="Cambria" w:eastAsia="Times New Roman" w:hAnsi="Cambria"/>
          <w:color w:val="000000"/>
          <w:shd w:val="clear" w:color="auto" w:fill="FFFFFF"/>
        </w:rPr>
        <w:t>24 Beacon St.</w:t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  <w:t>24 Beacon St. </w:t>
      </w:r>
    </w:p>
    <w:p w14:paraId="18CFC578" w14:textId="5536590F" w:rsidR="00330C02" w:rsidRPr="00330C02" w:rsidRDefault="00330C02" w:rsidP="00330C02">
      <w:pPr>
        <w:spacing w:line="240" w:lineRule="auto"/>
        <w:rPr>
          <w:rFonts w:ascii="Cambria" w:eastAsia="Times New Roman" w:hAnsi="Cambria" w:cs="Times New Roman"/>
        </w:rPr>
      </w:pPr>
      <w:r w:rsidRPr="00330C02">
        <w:rPr>
          <w:rFonts w:ascii="Cambria" w:eastAsia="Times New Roman" w:hAnsi="Cambria"/>
          <w:color w:val="000000"/>
          <w:shd w:val="clear" w:color="auto" w:fill="FFFFFF"/>
        </w:rPr>
        <w:t xml:space="preserve">Room </w:t>
      </w:r>
      <w:r w:rsidR="00E21464">
        <w:rPr>
          <w:rFonts w:ascii="Cambria" w:eastAsia="Times New Roman" w:hAnsi="Cambria"/>
          <w:color w:val="000000"/>
          <w:shd w:val="clear" w:color="auto" w:fill="FFFFFF"/>
        </w:rPr>
        <w:t>320</w:t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  <w:t>Room 136</w:t>
      </w:r>
    </w:p>
    <w:p w14:paraId="46019F48" w14:textId="0EF76CD1" w:rsidR="00330C02" w:rsidRPr="00967D5B" w:rsidRDefault="00330C02" w:rsidP="00330C02">
      <w:pPr>
        <w:spacing w:line="240" w:lineRule="auto"/>
        <w:rPr>
          <w:rFonts w:ascii="Cambria" w:eastAsia="Times New Roman" w:hAnsi="Cambria" w:cs="Times New Roman"/>
        </w:rPr>
      </w:pPr>
      <w:r w:rsidRPr="00330C02">
        <w:rPr>
          <w:rFonts w:ascii="Cambria" w:eastAsia="Times New Roman" w:hAnsi="Cambria"/>
          <w:color w:val="000000"/>
          <w:shd w:val="clear" w:color="auto" w:fill="FFFFFF"/>
        </w:rPr>
        <w:t>Boston, MA, 02133</w:t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</w:r>
      <w:r w:rsidRPr="00330C02">
        <w:rPr>
          <w:rFonts w:ascii="Cambria" w:eastAsia="Times New Roman" w:hAnsi="Cambria"/>
          <w:color w:val="000000"/>
          <w:shd w:val="clear" w:color="auto" w:fill="FFFFFF"/>
        </w:rPr>
        <w:tab/>
        <w:t>Boston, MA, 02133</w:t>
      </w:r>
    </w:p>
    <w:p w14:paraId="47485E87" w14:textId="77777777" w:rsidR="00330C02" w:rsidRPr="00330C02" w:rsidRDefault="00330C02" w:rsidP="00330C02">
      <w:pPr>
        <w:spacing w:line="240" w:lineRule="auto"/>
        <w:rPr>
          <w:rFonts w:ascii="Cambria" w:hAnsi="Cambria"/>
          <w:highlight w:val="white"/>
        </w:rPr>
      </w:pPr>
    </w:p>
    <w:p w14:paraId="0000000B" w14:textId="77777777" w:rsidR="001F3F09" w:rsidRPr="00330C02" w:rsidRDefault="00967D5B" w:rsidP="00330C02">
      <w:pPr>
        <w:spacing w:line="240" w:lineRule="auto"/>
        <w:rPr>
          <w:rFonts w:ascii="Cambria" w:hAnsi="Cambria"/>
          <w:i/>
          <w:color w:val="2A2A2A"/>
          <w:highlight w:val="white"/>
        </w:rPr>
      </w:pPr>
      <w:r w:rsidRPr="00330C02">
        <w:rPr>
          <w:rFonts w:ascii="Cambria" w:hAnsi="Cambria"/>
        </w:rPr>
        <w:t>Re:</w:t>
      </w:r>
      <w:r w:rsidRPr="00330C02">
        <w:rPr>
          <w:rFonts w:ascii="Cambria" w:hAnsi="Cambria"/>
        </w:rPr>
        <w:tab/>
      </w:r>
      <w:r w:rsidRPr="00330C02">
        <w:rPr>
          <w:rFonts w:ascii="Cambria" w:hAnsi="Cambria"/>
          <w:highlight w:val="white"/>
        </w:rPr>
        <w:t xml:space="preserve">S. 913 </w:t>
      </w:r>
      <w:r w:rsidRPr="00330C02">
        <w:rPr>
          <w:rFonts w:ascii="Cambria" w:hAnsi="Cambria"/>
          <w:i/>
          <w:color w:val="2A2A2A"/>
          <w:highlight w:val="white"/>
        </w:rPr>
        <w:t>An Act to ensure right to counsel in eviction proceedings</w:t>
      </w:r>
    </w:p>
    <w:p w14:paraId="0000000C" w14:textId="77777777" w:rsidR="001F3F09" w:rsidRPr="00330C02" w:rsidRDefault="00967D5B" w:rsidP="00330C02">
      <w:pPr>
        <w:spacing w:line="240" w:lineRule="auto"/>
        <w:rPr>
          <w:rFonts w:ascii="Cambria" w:hAnsi="Cambria"/>
          <w:i/>
          <w:color w:val="2A2A2A"/>
          <w:highlight w:val="white"/>
        </w:rPr>
      </w:pPr>
      <w:r w:rsidRPr="00330C02">
        <w:rPr>
          <w:rFonts w:ascii="Cambria" w:hAnsi="Cambria"/>
          <w:b/>
          <w:i/>
          <w:color w:val="2A2A2A"/>
          <w:highlight w:val="white"/>
        </w:rPr>
        <w:t xml:space="preserve">    </w:t>
      </w:r>
      <w:r w:rsidRPr="00330C02">
        <w:rPr>
          <w:rFonts w:ascii="Cambria" w:hAnsi="Cambria"/>
          <w:color w:val="2A2A2A"/>
          <w:highlight w:val="white"/>
        </w:rPr>
        <w:t xml:space="preserve">  </w:t>
      </w:r>
      <w:r w:rsidRPr="00330C02">
        <w:rPr>
          <w:rFonts w:ascii="Cambria" w:hAnsi="Cambria"/>
          <w:color w:val="2A2A2A"/>
          <w:highlight w:val="white"/>
        </w:rPr>
        <w:tab/>
        <w:t xml:space="preserve">H. 3456 </w:t>
      </w:r>
      <w:r w:rsidRPr="00330C02">
        <w:rPr>
          <w:rFonts w:ascii="Cambria" w:hAnsi="Cambria"/>
          <w:i/>
          <w:color w:val="2A2A2A"/>
          <w:highlight w:val="white"/>
        </w:rPr>
        <w:t>An Act to ensure right to counsel in eviction proceedings</w:t>
      </w:r>
    </w:p>
    <w:p w14:paraId="0000000D" w14:textId="77777777" w:rsidR="001F3F09" w:rsidRPr="00330C02" w:rsidRDefault="00967D5B" w:rsidP="00330C02">
      <w:pPr>
        <w:spacing w:line="240" w:lineRule="auto"/>
        <w:rPr>
          <w:rFonts w:ascii="Cambria" w:hAnsi="Cambria"/>
          <w:i/>
          <w:color w:val="2A2A2A"/>
          <w:highlight w:val="white"/>
        </w:rPr>
      </w:pPr>
      <w:r w:rsidRPr="00330C02">
        <w:rPr>
          <w:rFonts w:ascii="Cambria" w:hAnsi="Cambria"/>
          <w:b/>
          <w:color w:val="2A2A2A"/>
          <w:highlight w:val="white"/>
        </w:rPr>
        <w:t xml:space="preserve">   </w:t>
      </w:r>
      <w:r w:rsidRPr="00330C02">
        <w:rPr>
          <w:rFonts w:ascii="Cambria" w:hAnsi="Cambria"/>
          <w:color w:val="2A2A2A"/>
          <w:highlight w:val="white"/>
        </w:rPr>
        <w:t xml:space="preserve">  </w:t>
      </w:r>
      <w:r w:rsidRPr="00330C02">
        <w:rPr>
          <w:rFonts w:ascii="Cambria" w:hAnsi="Cambria"/>
          <w:color w:val="2A2A2A"/>
          <w:highlight w:val="white"/>
        </w:rPr>
        <w:tab/>
        <w:t xml:space="preserve">H.1537 </w:t>
      </w:r>
      <w:r w:rsidRPr="00330C02">
        <w:rPr>
          <w:rFonts w:ascii="Cambria" w:hAnsi="Cambria"/>
          <w:i/>
          <w:color w:val="2A2A2A"/>
          <w:highlight w:val="white"/>
        </w:rPr>
        <w:t>An Act establishing a right to counsel in certain eviction cases</w:t>
      </w:r>
    </w:p>
    <w:p w14:paraId="0000000E" w14:textId="77777777" w:rsidR="001F3F09" w:rsidRPr="00330C02" w:rsidRDefault="001F3F09" w:rsidP="00330C02">
      <w:pPr>
        <w:spacing w:line="240" w:lineRule="auto"/>
        <w:rPr>
          <w:rFonts w:ascii="Cambria" w:hAnsi="Cambria"/>
          <w:i/>
          <w:color w:val="2A2A2A"/>
          <w:highlight w:val="white"/>
        </w:rPr>
      </w:pPr>
    </w:p>
    <w:p w14:paraId="0000000F" w14:textId="77777777" w:rsidR="001F3F09" w:rsidRPr="00330C02" w:rsidRDefault="00967D5B" w:rsidP="00330C02">
      <w:pPr>
        <w:spacing w:line="240" w:lineRule="auto"/>
        <w:ind w:left="-90"/>
        <w:rPr>
          <w:rFonts w:ascii="Cambria" w:hAnsi="Cambria"/>
        </w:rPr>
      </w:pPr>
      <w:r w:rsidRPr="00330C02">
        <w:rPr>
          <w:rFonts w:ascii="Cambria" w:hAnsi="Cambria"/>
          <w:color w:val="2A2A2A"/>
          <w:highlight w:val="white"/>
        </w:rPr>
        <w:t xml:space="preserve"> Dear Ch</w:t>
      </w:r>
      <w:r w:rsidRPr="00330C02">
        <w:rPr>
          <w:rFonts w:ascii="Cambria" w:hAnsi="Cambria"/>
          <w:color w:val="2A2A2A"/>
          <w:highlight w:val="white"/>
        </w:rPr>
        <w:t xml:space="preserve">airman Eldridge and Chairwoman Cronin </w:t>
      </w:r>
      <w:r w:rsidRPr="00330C02">
        <w:rPr>
          <w:rFonts w:ascii="Cambria" w:hAnsi="Cambria"/>
          <w:color w:val="2A2A2A"/>
          <w:highlight w:val="white"/>
        </w:rPr>
        <w:br/>
        <w:t xml:space="preserve"> and Members of the Joint Committee on the Judiciary:</w:t>
      </w:r>
    </w:p>
    <w:p w14:paraId="00000010" w14:textId="77777777" w:rsidR="001F3F09" w:rsidRPr="00330C02" w:rsidRDefault="001F3F09" w:rsidP="00330C02">
      <w:pPr>
        <w:spacing w:line="240" w:lineRule="auto"/>
        <w:rPr>
          <w:rFonts w:ascii="Cambria" w:hAnsi="Cambria"/>
        </w:rPr>
      </w:pPr>
    </w:p>
    <w:p w14:paraId="00000011" w14:textId="77777777" w:rsidR="001F3F09" w:rsidRPr="00330C02" w:rsidRDefault="00967D5B" w:rsidP="00330C02">
      <w:pPr>
        <w:shd w:val="clear" w:color="auto" w:fill="FFFFFF"/>
        <w:spacing w:line="240" w:lineRule="auto"/>
        <w:ind w:hanging="90"/>
        <w:rPr>
          <w:rFonts w:ascii="Cambria" w:hAnsi="Cambria"/>
          <w:color w:val="222222"/>
        </w:rPr>
      </w:pPr>
      <w:r w:rsidRPr="00330C02">
        <w:rPr>
          <w:rFonts w:ascii="Cambria" w:hAnsi="Cambria"/>
        </w:rPr>
        <w:t xml:space="preserve">  I am writing to support legislation on the right to counsel in eviction cases (H. 3456, H. 1537, </w:t>
      </w:r>
      <w:proofErr w:type="gramStart"/>
      <w:r w:rsidRPr="00330C02">
        <w:rPr>
          <w:rFonts w:ascii="Cambria" w:hAnsi="Cambria"/>
        </w:rPr>
        <w:t>S</w:t>
      </w:r>
      <w:proofErr w:type="gramEnd"/>
      <w:r w:rsidRPr="00330C02">
        <w:rPr>
          <w:rFonts w:ascii="Cambria" w:hAnsi="Cambria"/>
        </w:rPr>
        <w:t xml:space="preserve">. 913). </w:t>
      </w:r>
    </w:p>
    <w:p w14:paraId="00000012" w14:textId="77777777" w:rsidR="001F3F09" w:rsidRPr="00330C02" w:rsidRDefault="001F3F09" w:rsidP="00330C02">
      <w:pPr>
        <w:spacing w:line="240" w:lineRule="auto"/>
        <w:rPr>
          <w:rFonts w:ascii="Cambria" w:hAnsi="Cambria"/>
          <w:color w:val="222222"/>
        </w:rPr>
      </w:pPr>
    </w:p>
    <w:p w14:paraId="00000013" w14:textId="77777777" w:rsidR="001F3F09" w:rsidRPr="00330C02" w:rsidRDefault="00967D5B" w:rsidP="00330C02">
      <w:pPr>
        <w:shd w:val="clear" w:color="auto" w:fill="FFFFFF"/>
        <w:spacing w:line="240" w:lineRule="auto"/>
        <w:rPr>
          <w:rFonts w:ascii="Cambria" w:hAnsi="Cambria"/>
          <w:color w:val="1D2129"/>
        </w:rPr>
      </w:pPr>
      <w:r w:rsidRPr="00330C02">
        <w:rPr>
          <w:rFonts w:ascii="Cambria" w:hAnsi="Cambria"/>
          <w:color w:val="2A2A2A"/>
          <w:highlight w:val="white"/>
        </w:rPr>
        <w:t>In 2018, over 92% of tenants who faced eviction went</w:t>
      </w:r>
      <w:r w:rsidRPr="00330C02">
        <w:rPr>
          <w:rFonts w:ascii="Cambria" w:hAnsi="Cambria"/>
          <w:color w:val="2A2A2A"/>
          <w:highlight w:val="white"/>
        </w:rPr>
        <w:t xml:space="preserve"> to court without a lawyer, while the majority of landlords were represented by counsel. </w:t>
      </w:r>
    </w:p>
    <w:p w14:paraId="00000014" w14:textId="77777777" w:rsidR="001F3F09" w:rsidRPr="00330C02" w:rsidRDefault="001F3F09" w:rsidP="00330C02">
      <w:pPr>
        <w:spacing w:line="240" w:lineRule="auto"/>
        <w:rPr>
          <w:rFonts w:ascii="Cambria" w:hAnsi="Cambria"/>
          <w:color w:val="1D2129"/>
        </w:rPr>
      </w:pPr>
    </w:p>
    <w:p w14:paraId="00000015" w14:textId="77777777" w:rsidR="001F3F09" w:rsidRPr="00330C02" w:rsidRDefault="00967D5B" w:rsidP="00330C02">
      <w:pPr>
        <w:spacing w:line="240" w:lineRule="auto"/>
        <w:ind w:right="195"/>
        <w:rPr>
          <w:rFonts w:ascii="Cambria" w:hAnsi="Cambria"/>
          <w:color w:val="1D2129"/>
        </w:rPr>
      </w:pPr>
      <w:r w:rsidRPr="00330C02">
        <w:rPr>
          <w:rFonts w:ascii="Cambria" w:hAnsi="Cambria"/>
          <w:color w:val="2A2A2A"/>
          <w:highlight w:val="white"/>
        </w:rPr>
        <w:t>Many tenants do not know their rights or how to protect themselves both before court and in court. Legal help and access to the right resources at the rig</w:t>
      </w:r>
      <w:bookmarkStart w:id="0" w:name="_GoBack"/>
      <w:bookmarkEnd w:id="0"/>
      <w:r w:rsidRPr="00330C02">
        <w:rPr>
          <w:rFonts w:ascii="Cambria" w:hAnsi="Cambria"/>
          <w:color w:val="2A2A2A"/>
          <w:highlight w:val="white"/>
        </w:rPr>
        <w:t>ht time can</w:t>
      </w:r>
      <w:r w:rsidRPr="00330C02">
        <w:rPr>
          <w:rFonts w:ascii="Cambria" w:hAnsi="Cambria"/>
          <w:color w:val="2A2A2A"/>
          <w:highlight w:val="white"/>
        </w:rPr>
        <w:t xml:space="preserve"> prevent families from homelessness, prevent illegal or unnecessary evictions, prevent displacement, and create a path to housing stability. </w:t>
      </w:r>
    </w:p>
    <w:p w14:paraId="00000016" w14:textId="77777777" w:rsidR="001F3F09" w:rsidRPr="00330C02" w:rsidRDefault="001F3F09" w:rsidP="00330C02">
      <w:pPr>
        <w:shd w:val="clear" w:color="auto" w:fill="FFFFFF"/>
        <w:spacing w:line="240" w:lineRule="auto"/>
        <w:rPr>
          <w:rFonts w:ascii="Cambria" w:hAnsi="Cambria"/>
          <w:color w:val="1D2129"/>
        </w:rPr>
      </w:pPr>
    </w:p>
    <w:p w14:paraId="00000017" w14:textId="77777777" w:rsidR="001F3F09" w:rsidRPr="00330C02" w:rsidRDefault="00967D5B" w:rsidP="00330C02">
      <w:pPr>
        <w:shd w:val="clear" w:color="auto" w:fill="FFFFFF"/>
        <w:spacing w:line="240" w:lineRule="auto"/>
        <w:rPr>
          <w:rFonts w:ascii="Cambria" w:hAnsi="Cambria"/>
        </w:rPr>
      </w:pPr>
      <w:r w:rsidRPr="00330C02">
        <w:rPr>
          <w:rFonts w:ascii="Cambria" w:hAnsi="Cambria"/>
          <w:color w:val="1D2129"/>
        </w:rPr>
        <w:t>I support the Right to Counsel (RTC) Coalition’s recommendation drawing together provisions from all the RTC bill</w:t>
      </w:r>
      <w:r w:rsidRPr="00330C02">
        <w:rPr>
          <w:rFonts w:ascii="Cambria" w:hAnsi="Cambria"/>
          <w:color w:val="1D2129"/>
        </w:rPr>
        <w:t>s currently before the State Legislature to create a “hybrid” RTC bill that also builds upon lessons learned by advocates in Massachusetts and from other places that are starting to implement RTC. I support this proposal because it focuses on creating a co</w:t>
      </w:r>
      <w:r w:rsidRPr="00330C02">
        <w:rPr>
          <w:rFonts w:ascii="Cambria" w:hAnsi="Cambria"/>
          <w:color w:val="1D2129"/>
        </w:rPr>
        <w:t xml:space="preserve">ntinuum of legal assistance and housing stability, it acknowledges that different stages call for different levels of legal involvement. Eviction cases move fast and can be </w:t>
      </w:r>
      <w:proofErr w:type="gramStart"/>
      <w:r w:rsidRPr="00330C02">
        <w:rPr>
          <w:rFonts w:ascii="Cambria" w:hAnsi="Cambria"/>
          <w:color w:val="1D2129"/>
        </w:rPr>
        <w:t>intimidating,</w:t>
      </w:r>
      <w:proofErr w:type="gramEnd"/>
      <w:r w:rsidRPr="00330C02">
        <w:rPr>
          <w:rFonts w:ascii="Cambria" w:hAnsi="Cambria"/>
          <w:color w:val="1D2129"/>
        </w:rPr>
        <w:t xml:space="preserve"> a right to counsel would help prevent unbalanced and unfair results w</w:t>
      </w:r>
      <w:r w:rsidRPr="00330C02">
        <w:rPr>
          <w:rFonts w:ascii="Cambria" w:hAnsi="Cambria"/>
          <w:color w:val="1D2129"/>
        </w:rPr>
        <w:t xml:space="preserve">hile also working toward housing stability. </w:t>
      </w:r>
    </w:p>
    <w:p w14:paraId="00000018" w14:textId="77777777" w:rsidR="001F3F09" w:rsidRPr="00330C02" w:rsidRDefault="001F3F09" w:rsidP="00330C02">
      <w:pPr>
        <w:spacing w:line="240" w:lineRule="auto"/>
        <w:rPr>
          <w:rFonts w:ascii="Cambria" w:hAnsi="Cambria"/>
        </w:rPr>
      </w:pPr>
    </w:p>
    <w:p w14:paraId="00000019" w14:textId="77777777" w:rsidR="001F3F09" w:rsidRPr="00330C02" w:rsidRDefault="00967D5B" w:rsidP="00330C02">
      <w:pPr>
        <w:shd w:val="clear" w:color="auto" w:fill="FFFFFF"/>
        <w:spacing w:line="240" w:lineRule="auto"/>
        <w:rPr>
          <w:rFonts w:ascii="Cambria" w:hAnsi="Cambria"/>
        </w:rPr>
      </w:pPr>
      <w:r w:rsidRPr="00330C02">
        <w:rPr>
          <w:rFonts w:ascii="Cambria" w:hAnsi="Cambria"/>
        </w:rPr>
        <w:t xml:space="preserve">I strongly believe it is time to level the playing field in eviction cases. Please issue a favorable report on the right to counsel in eviction cases. </w:t>
      </w:r>
    </w:p>
    <w:p w14:paraId="41E92E9E" w14:textId="77777777" w:rsidR="00330C02" w:rsidRPr="00330C02" w:rsidRDefault="00330C02" w:rsidP="00330C02">
      <w:pPr>
        <w:shd w:val="clear" w:color="auto" w:fill="FFFFFF"/>
        <w:spacing w:line="240" w:lineRule="auto"/>
        <w:rPr>
          <w:rFonts w:ascii="Cambria" w:hAnsi="Cambria"/>
        </w:rPr>
      </w:pPr>
    </w:p>
    <w:p w14:paraId="29AE42EF" w14:textId="51431A75" w:rsidR="00330C02" w:rsidRDefault="00330C02" w:rsidP="00330C02">
      <w:pPr>
        <w:shd w:val="clear" w:color="auto" w:fill="FFFFFF"/>
        <w:spacing w:line="240" w:lineRule="auto"/>
        <w:rPr>
          <w:rFonts w:ascii="Cambria" w:hAnsi="Cambria"/>
        </w:rPr>
      </w:pPr>
      <w:r w:rsidRPr="00330C02">
        <w:rPr>
          <w:rFonts w:ascii="Cambria" w:hAnsi="Cambria"/>
        </w:rPr>
        <w:t xml:space="preserve">Thank you, </w:t>
      </w:r>
    </w:p>
    <w:p w14:paraId="6AD51EE8" w14:textId="77777777" w:rsidR="00967D5B" w:rsidRDefault="00967D5B" w:rsidP="00330C02">
      <w:pPr>
        <w:shd w:val="clear" w:color="auto" w:fill="FFFFFF"/>
        <w:spacing w:line="240" w:lineRule="auto"/>
        <w:rPr>
          <w:rFonts w:ascii="Cambria" w:hAnsi="Cambria"/>
        </w:rPr>
      </w:pPr>
    </w:p>
    <w:p w14:paraId="0D0F92F6" w14:textId="29859167" w:rsidR="00967D5B" w:rsidRPr="00967D5B" w:rsidRDefault="00967D5B" w:rsidP="00330C02">
      <w:pPr>
        <w:shd w:val="clear" w:color="auto" w:fill="FFFFFF"/>
        <w:spacing w:line="240" w:lineRule="auto"/>
        <w:rPr>
          <w:rFonts w:ascii="Cambria" w:hAnsi="Cambria"/>
          <w:i/>
        </w:rPr>
      </w:pPr>
      <w:r w:rsidRPr="00967D5B">
        <w:rPr>
          <w:rFonts w:ascii="Cambria" w:hAnsi="Cambria"/>
          <w:i/>
        </w:rPr>
        <w:t>[Your name]</w:t>
      </w:r>
    </w:p>
    <w:p w14:paraId="1D4A9501" w14:textId="77777777" w:rsidR="00330C02" w:rsidRPr="00330C02" w:rsidRDefault="00330C02" w:rsidP="00330C02">
      <w:pPr>
        <w:shd w:val="clear" w:color="auto" w:fill="FFFFFF"/>
      </w:pPr>
    </w:p>
    <w:p w14:paraId="0000001A" w14:textId="77777777" w:rsidR="001F3F09" w:rsidRPr="00330C02" w:rsidRDefault="001F3F09" w:rsidP="00330C02"/>
    <w:sectPr w:rsidR="001F3F09" w:rsidRPr="00330C02" w:rsidSect="00330C02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3F09"/>
    <w:rsid w:val="001F3F09"/>
    <w:rsid w:val="00330C02"/>
    <w:rsid w:val="00967D5B"/>
    <w:rsid w:val="00E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0DA5-6364-46B3-A6A8-01BF47DC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Law Reform Institute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Blaydes</dc:creator>
  <cp:lastModifiedBy>MLRI Staff</cp:lastModifiedBy>
  <cp:revision>3</cp:revision>
  <dcterms:created xsi:type="dcterms:W3CDTF">2019-07-09T19:36:00Z</dcterms:created>
  <dcterms:modified xsi:type="dcterms:W3CDTF">2019-07-09T19:41:00Z</dcterms:modified>
</cp:coreProperties>
</file>